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69382" cy="362686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382" cy="3626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28877" cy="2134248"/>
            <wp:effectExtent l="0" t="0" r="0" b="0"/>
            <wp:docPr id="1073741827" name="officeArt object" descr="grapes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rapes_2.jpeg" descr="grapes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877" cy="2134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4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448"/>
                          <a:chOff x="0" y="0"/>
                          <a:chExt cx="2491009" cy="8444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4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447">
                <w10:wrap type="none" side="bothSides" anchorx="text"/>
                <v:shape id="_x0000_s1029" style="position:absolute;left:0;top:0;width:2491009;height:84444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21:28-32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71468" cy="349428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468" cy="3494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81552" cy="5400942"/>
            <wp:effectExtent l="0" t="0" r="0" b="0"/>
            <wp:docPr id="1073741836" name="officeArt object" descr="Screenshot 2024-09-11 at 9.43.2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1 at 9.43.29 AM.png" descr="Screenshot 2024-09-11 at 9.43.2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821" t="0" r="1821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81552" cy="54009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b w:val="1"/>
          <w:bCs w:val="1"/>
          <w:rtl w:val="0"/>
          <w:lang w:val="en-US"/>
        </w:rPr>
        <w:t>The Parable of the Two Sons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Matthew 21:28-30</w:t>
      </w:r>
      <w:r>
        <w:rPr>
          <w:b w:val="1"/>
          <w:bCs w:val="1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4019" cy="2843116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019" cy="28431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657979" cy="257118"/>
                <wp:effectExtent l="0" t="0" r="0" b="0"/>
                <wp:docPr id="1073741839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979" cy="25711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30.5pt;height:20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4172388" cy="1779743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388" cy="17797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  <w:rPr>
          <w:sz w:val="20"/>
          <w:szCs w:val="20"/>
        </w:rPr>
      </w:pPr>
    </w:p>
    <w:p>
      <w:pPr>
        <w:pStyle w:val="Normal.0"/>
        <w:tabs>
          <w:tab w:val="left" w:pos="5040"/>
        </w:tabs>
        <w:jc w:val="center"/>
        <w:rPr>
          <w:sz w:val="20"/>
          <w:szCs w:val="20"/>
        </w:rPr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hAnsi="Arial"/>
          <w:rtl w:val="0"/>
          <w:lang w:val="en-US"/>
        </w:rPr>
        <w:t>You can find the answers in Matthew 21:28-30 (NIV)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