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2504" cy="322749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504" cy="32274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12608" cy="1895552"/>
            <wp:effectExtent l="0" t="0" r="0" b="0"/>
            <wp:docPr id="1073741827" name="officeArt object" descr="praying_han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raying_hands.png" descr="praying_hands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608" cy="18955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923</wp:posOffset>
                </wp:positionV>
                <wp:extent cx="2490611" cy="84507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5072"/>
                          <a:chOff x="0" y="0"/>
                          <a:chExt cx="2490610" cy="84507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50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705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5072">
                <w10:wrap type="none" side="bothSides" anchorx="text"/>
                <v:shape id="_x0000_s1029" style="position:absolute;left:0;top:0;width:2490611;height:84507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705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</w:pPr>
      <w:r>
        <w:rPr>
          <w:rFonts w:ascii="Verdana" w:hAnsi="Verdana"/>
          <w:sz w:val="20"/>
          <w:szCs w:val="20"/>
          <w:rtl w:val="0"/>
          <w:lang w:val="en-US"/>
        </w:rPr>
        <w:t>James 5:13-16</w:t>
      </w: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4826" cy="364342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826" cy="36434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8776" cy="5307064"/>
            <wp:effectExtent l="0" t="0" r="0" b="0"/>
            <wp:docPr id="1073741836" name="officeArt object" descr="girl_prayi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girl_praying.png" descr="girl_prayin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776" cy="53070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Keep on Praying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sz w:val="18"/>
          <w:szCs w:val="18"/>
          <w:rtl w:val="0"/>
          <w:lang w:val="en-US"/>
        </w:rPr>
        <w:t>Standard Publishing, www.standardpub.com, 1-800-323-5473</w:t>
      </w:r>
      <w:r>
        <w:rPr>
          <w:rFonts w:ascii="Arial" w:hAnsi="Arial"/>
          <w:sz w:val="16"/>
          <w:szCs w:val="16"/>
          <w:rtl w:val="0"/>
          <w:lang w:val="en-US"/>
        </w:rPr>
        <w:t>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6261" cy="3804819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261" cy="38048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810512" cy="1801397"/>
            <wp:effectExtent l="0" t="0" r="0" b="0"/>
            <wp:docPr id="1073741839" name="officeArt object" descr="pray_without_ceas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ray_without_ceasing.jpeg" descr="pray_without_ceas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512" cy="18013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